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CCAC" w14:textId="6E2FE43A" w:rsidR="008F6C34" w:rsidRPr="00C07DAD" w:rsidRDefault="00025989" w:rsidP="008F6C34">
      <w:pPr>
        <w:rPr>
          <w:b/>
          <w:bCs/>
          <w:u w:val="single"/>
        </w:rPr>
      </w:pPr>
      <w:r w:rsidRPr="00025989">
        <w:rPr>
          <w:b/>
          <w:bCs/>
          <w:u w:val="single"/>
        </w:rPr>
        <w:t xml:space="preserve">Nasjonale retningslinjer for bruk av </w:t>
      </w:r>
      <w:r>
        <w:rPr>
          <w:b/>
          <w:bCs/>
          <w:u w:val="single"/>
        </w:rPr>
        <w:t>bredbånds</w:t>
      </w:r>
      <w:r w:rsidRPr="00025989">
        <w:rPr>
          <w:b/>
          <w:bCs/>
          <w:u w:val="single"/>
        </w:rPr>
        <w:t>midlene</w:t>
      </w:r>
      <w:r w:rsidR="008F6C34" w:rsidRPr="00C07DAD">
        <w:rPr>
          <w:b/>
          <w:bCs/>
          <w:u w:val="single"/>
        </w:rPr>
        <w:t>:</w:t>
      </w:r>
    </w:p>
    <w:p w14:paraId="6F36D4AC" w14:textId="77777777" w:rsidR="008F6C34" w:rsidRDefault="008F6C34" w:rsidP="008F6C34">
      <w:pPr>
        <w:pStyle w:val="Listeavsnitt"/>
        <w:numPr>
          <w:ilvl w:val="0"/>
          <w:numId w:val="3"/>
        </w:numPr>
      </w:pPr>
      <w:r>
        <w:t>Prosjekter som kan få støtte er:</w:t>
      </w:r>
    </w:p>
    <w:p w14:paraId="2589C3CC" w14:textId="77777777" w:rsidR="008F6C34" w:rsidRDefault="008F6C34" w:rsidP="008F6C34">
      <w:pPr>
        <w:pStyle w:val="Listeavsnitt"/>
        <w:numPr>
          <w:ilvl w:val="0"/>
          <w:numId w:val="1"/>
        </w:numPr>
      </w:pPr>
      <w:r>
        <w:t>Husholdninger og virksomheter som mangler tilbud om 30 Mbit/s. Det støttede prosjektet må på en pålitelig måte tilby nedlastningshastighet på minimum 100 Mbit/s</w:t>
      </w:r>
    </w:p>
    <w:p w14:paraId="31291F95" w14:textId="77777777" w:rsidR="008F6C34" w:rsidRDefault="008F6C34" w:rsidP="008F6C34">
      <w:pPr>
        <w:pStyle w:val="Listeavsnitt"/>
        <w:numPr>
          <w:ilvl w:val="0"/>
          <w:numId w:val="1"/>
        </w:numPr>
      </w:pPr>
      <w:r>
        <w:t>Husholdninger og virksomheter som mangler tilbud om 100 Mbit/s. Det støttede prosjektet må på en pålitelig måte tilby en nedlastingshastighet på minimum 300 Mbit/s</w:t>
      </w:r>
    </w:p>
    <w:p w14:paraId="11AD72FF" w14:textId="77777777" w:rsidR="008F6C34" w:rsidRDefault="008F6C34" w:rsidP="008F6C34">
      <w:r>
        <w:t xml:space="preserve">2. Områder hvor eksisterende nett tilbyr en nedlastingshastighet under 100 Mbit/s anses ikke som støtteberettigede dersom det eksisterende nettet kan oppgraderes til å tilby en nedlastningshastighet på minimum 1 </w:t>
      </w:r>
      <w:proofErr w:type="spellStart"/>
      <w:r>
        <w:t>Gbit</w:t>
      </w:r>
      <w:proofErr w:type="spellEnd"/>
      <w:r>
        <w:t>/s.</w:t>
      </w:r>
    </w:p>
    <w:p w14:paraId="46214846" w14:textId="77777777" w:rsidR="008F6C34" w:rsidRDefault="008F6C34" w:rsidP="008F6C34">
      <w:pPr>
        <w:spacing w:after="0"/>
      </w:pPr>
      <w:r>
        <w:t>3. Offentlig høring av støtteområder:</w:t>
      </w:r>
    </w:p>
    <w:p w14:paraId="05DE82A5" w14:textId="77777777" w:rsidR="008F6C34" w:rsidRDefault="008F6C34" w:rsidP="008F6C34">
      <w:pPr>
        <w:spacing w:after="0"/>
      </w:pPr>
      <w:proofErr w:type="spellStart"/>
      <w:r>
        <w:t>Nkom</w:t>
      </w:r>
      <w:proofErr w:type="spellEnd"/>
      <w:r>
        <w:t xml:space="preserve"> (Nasjonal kommunikasjonsmyndighet) skal gjennomføre den offentlige høringen på nasjonalt nivå. Fylkeskommuner og kommuner må bidra inn i høringen med kunnskap om faktiske dekningsopplysninger lokalt og regionalt og om lokale aktører i egen region. Utover det vil </w:t>
      </w:r>
      <w:proofErr w:type="spellStart"/>
      <w:r>
        <w:t>Nkom</w:t>
      </w:r>
      <w:proofErr w:type="spellEnd"/>
      <w:r>
        <w:t xml:space="preserve"> kontakte tilbyderne som har påtatt seg dekningsforpliktelse etter 5G-auksjonen i september 2021, direkte.</w:t>
      </w:r>
    </w:p>
    <w:p w14:paraId="4446A5EB" w14:textId="77777777" w:rsidR="008F6C34" w:rsidRDefault="008F6C34" w:rsidP="008F6C34">
      <w:pPr>
        <w:spacing w:after="0"/>
      </w:pPr>
    </w:p>
    <w:p w14:paraId="65580821" w14:textId="77777777" w:rsidR="008F6C34" w:rsidRDefault="008F6C34" w:rsidP="008F6C34">
      <w:r>
        <w:t>4. Fylkeskommunen prioriterer prosjekter innenfor den økonomiske rammen og beslutter hvilke prosjekter som skal få statlig støtte i fylket.</w:t>
      </w:r>
    </w:p>
    <w:p w14:paraId="7D3CB912" w14:textId="77777777" w:rsidR="008F6C34" w:rsidRDefault="008F6C34" w:rsidP="008F6C34">
      <w:r>
        <w:t>5. Fylkeskommunen har ansvar for at konkurranseutlysning av de aktuelle prosjektene skjer samlet, og den avgjør selv i hvilken grad utlysningen skal deles opp i flere underprosjekter.</w:t>
      </w:r>
    </w:p>
    <w:p w14:paraId="1D94D4A3" w14:textId="77777777" w:rsidR="008F6C34" w:rsidRDefault="008F6C34" w:rsidP="008F6C34">
      <w:r>
        <w:t>6. Fylkeskommunen skal, for å sikre samsvar med statsstøtteregelverket og anskaffelsesreglene, blant annet sørge for:</w:t>
      </w:r>
    </w:p>
    <w:p w14:paraId="71AE36AC" w14:textId="77777777" w:rsidR="008F6C34" w:rsidRDefault="008F6C34" w:rsidP="008F6C34">
      <w:pPr>
        <w:pStyle w:val="Listeavsnitt"/>
        <w:numPr>
          <w:ilvl w:val="0"/>
          <w:numId w:val="2"/>
        </w:numPr>
      </w:pPr>
      <w:r>
        <w:t>at informasjon om prosjektene som har fått støtte, gjøres tilgjengelig på fylkeskommunens nettsider, med lenke til bredbåndstilbydernes nettsider</w:t>
      </w:r>
    </w:p>
    <w:p w14:paraId="43744CEF" w14:textId="77777777" w:rsidR="008F6C34" w:rsidRDefault="008F6C34" w:rsidP="008F6C34">
      <w:pPr>
        <w:pStyle w:val="Listeavsnitt"/>
        <w:numPr>
          <w:ilvl w:val="0"/>
          <w:numId w:val="2"/>
        </w:numPr>
      </w:pPr>
      <w:r>
        <w:t xml:space="preserve">at </w:t>
      </w:r>
      <w:proofErr w:type="spellStart"/>
      <w:r>
        <w:t>Nkom</w:t>
      </w:r>
      <w:proofErr w:type="spellEnd"/>
      <w:r>
        <w:t xml:space="preserve"> blir konsultert om produkter for tredjepartstilgang (grossisttilgang), samt om vilkårene for slik tilgang, herunder pris.</w:t>
      </w:r>
    </w:p>
    <w:p w14:paraId="5FB84EC1" w14:textId="77777777" w:rsidR="008F6C34" w:rsidRDefault="008F6C34" w:rsidP="008F6C34">
      <w:pPr>
        <w:pStyle w:val="Listeavsnitt"/>
        <w:numPr>
          <w:ilvl w:val="0"/>
          <w:numId w:val="2"/>
        </w:numPr>
      </w:pPr>
      <w:r>
        <w:t>at anbudsinvitasjoner og avtaler med valgt utbygger utformes i tråd med statsstøttereglene, deriblant at</w:t>
      </w:r>
    </w:p>
    <w:p w14:paraId="3CB22B77" w14:textId="77777777" w:rsidR="008F6C34" w:rsidRDefault="008F6C34" w:rsidP="008F6C34">
      <w:pPr>
        <w:pStyle w:val="Listeavsnitt"/>
        <w:numPr>
          <w:ilvl w:val="1"/>
          <w:numId w:val="2"/>
        </w:numPr>
      </w:pPr>
      <w:r>
        <w:t>utbygger plikter å gi prosjekteier den informasjon som er nødvendig for å sikre at statsstøttereglene og andre krav knyttet til ordningen følges</w:t>
      </w:r>
    </w:p>
    <w:p w14:paraId="1A3A368B" w14:textId="77777777" w:rsidR="008F6C34" w:rsidRDefault="008F6C34" w:rsidP="008F6C34">
      <w:pPr>
        <w:pStyle w:val="Listeavsnitt"/>
        <w:numPr>
          <w:ilvl w:val="1"/>
          <w:numId w:val="2"/>
        </w:numPr>
      </w:pPr>
      <w:r>
        <w:t>avtalene inneholder bestemmelser om at eventuell ulovlig statsstøtte må tilbakebetales</w:t>
      </w:r>
    </w:p>
    <w:p w14:paraId="464B42D2" w14:textId="77777777" w:rsidR="008F6C34" w:rsidRDefault="008F6C34" w:rsidP="008F6C34">
      <w:r>
        <w:t>7. Bredbåndstilbudet som etableres gjennom ordningen skal tilbys sluttbruker til en fastpris som er uavhengig (eller tilnærmet uavhengig) av bruken.</w:t>
      </w:r>
    </w:p>
    <w:p w14:paraId="504F4156" w14:textId="77777777" w:rsidR="008F6C34" w:rsidRDefault="008F6C34" w:rsidP="008F6C34">
      <w:r>
        <w:t>8. For tilbud/løsninger basert på trådløst nett, skal det i tilbudet dokumenteres at løsningen normalt vil kunne levere hastighet som nevnt i 1 a eller 1 b i en time på den tiden av dagen hvor nettverksbelastningen vanligvis er på det høyeste.</w:t>
      </w:r>
    </w:p>
    <w:p w14:paraId="0B8A7249" w14:textId="77777777" w:rsidR="008F6C34" w:rsidRDefault="008F6C34" w:rsidP="008F6C34">
      <w:r>
        <w:t>9. Prosjekter som mottar tilskudd, skal etablere et reelt bredbåndstilbud til alle husholdninger og virksomheter innenfor det definerte geografiske området det skal gis støtte til, dvs. 100 prosent dekning innenfor det aktuelle området.</w:t>
      </w:r>
    </w:p>
    <w:p w14:paraId="594F1F87" w14:textId="77777777" w:rsidR="008F6C34" w:rsidRDefault="008F6C34" w:rsidP="008F6C34">
      <w:r>
        <w:lastRenderedPageBreak/>
        <w:t>10. Det er ikke et krav om lokal medfinansiering i 2024, men departementet oppfordrer likevel fylkeskommunen og kommunene til å bidra med lokale midler i prosjektene. Lokale bidrag vil bidra til at flere husstander og virksomheter kan få et nytt eller bedre tilbud, enn uten slike bidrag.</w:t>
      </w:r>
    </w:p>
    <w:p w14:paraId="4B79630C" w14:textId="77777777" w:rsidR="008F6C34" w:rsidRDefault="008F6C34" w:rsidP="008F6C34">
      <w:r>
        <w:t>11. Tilskuddsmidler som det ikke er inngått avtaler om utbygging for innen 31. desember 2024, skal tilbakebetales til departementet dersom ikke særlige omstendigheter tilsier at fristen for bruk av midlene utvides, jf. punkt 13 i disse retningslinjene.</w:t>
      </w:r>
    </w:p>
    <w:p w14:paraId="0AD99782" w14:textId="77777777" w:rsidR="008F6C34" w:rsidRDefault="008F6C34" w:rsidP="008F6C34">
      <w:r>
        <w:t>12. Prosjekter som mottar tilskudd, skal være gjennomført innen 1. juli 2026. Dersom dette ikke oppfylles, kan departementet kreve helt eller delvis tilbakeføring av de statlige midlene som inngår i de aktuelle prosjektene.</w:t>
      </w:r>
    </w:p>
    <w:p w14:paraId="58960907" w14:textId="77777777" w:rsidR="008F6C34" w:rsidRDefault="008F6C34" w:rsidP="008F6C34">
      <w:r>
        <w:t>13. Departementet kan i særlige tilfeller gjøre unntak fra disse nasjonale retningslinjene, med unntak av pkt. 2.</w:t>
      </w:r>
      <w:r>
        <w:cr/>
      </w:r>
    </w:p>
    <w:p w14:paraId="4B80AF7D" w14:textId="77777777" w:rsidR="007D5F8A" w:rsidRDefault="007D5F8A"/>
    <w:sectPr w:rsidR="007D5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30E1"/>
    <w:multiLevelType w:val="hybridMultilevel"/>
    <w:tmpl w:val="AB485728"/>
    <w:lvl w:ilvl="0" w:tplc="B7F84FFA">
      <w:start w:val="1"/>
      <w:numFmt w:val="lowerLetter"/>
      <w:lvlText w:val="%1."/>
      <w:lvlJc w:val="left"/>
      <w:pPr>
        <w:ind w:left="720" w:hanging="360"/>
      </w:pPr>
    </w:lvl>
    <w:lvl w:ilvl="1" w:tplc="8B06EEEA" w:tentative="1">
      <w:start w:val="1"/>
      <w:numFmt w:val="lowerLetter"/>
      <w:lvlText w:val="%2."/>
      <w:lvlJc w:val="left"/>
      <w:pPr>
        <w:ind w:left="1440" w:hanging="360"/>
      </w:pPr>
    </w:lvl>
    <w:lvl w:ilvl="2" w:tplc="1682BE6E" w:tentative="1">
      <w:start w:val="1"/>
      <w:numFmt w:val="lowerRoman"/>
      <w:lvlText w:val="%3."/>
      <w:lvlJc w:val="right"/>
      <w:pPr>
        <w:ind w:left="2160" w:hanging="180"/>
      </w:pPr>
    </w:lvl>
    <w:lvl w:ilvl="3" w:tplc="14D0B346" w:tentative="1">
      <w:start w:val="1"/>
      <w:numFmt w:val="decimal"/>
      <w:lvlText w:val="%4."/>
      <w:lvlJc w:val="left"/>
      <w:pPr>
        <w:ind w:left="2880" w:hanging="360"/>
      </w:pPr>
    </w:lvl>
    <w:lvl w:ilvl="4" w:tplc="00C0037A" w:tentative="1">
      <w:start w:val="1"/>
      <w:numFmt w:val="lowerLetter"/>
      <w:lvlText w:val="%5."/>
      <w:lvlJc w:val="left"/>
      <w:pPr>
        <w:ind w:left="3600" w:hanging="360"/>
      </w:pPr>
    </w:lvl>
    <w:lvl w:ilvl="5" w:tplc="C12C628C" w:tentative="1">
      <w:start w:val="1"/>
      <w:numFmt w:val="lowerRoman"/>
      <w:lvlText w:val="%6."/>
      <w:lvlJc w:val="right"/>
      <w:pPr>
        <w:ind w:left="4320" w:hanging="180"/>
      </w:pPr>
    </w:lvl>
    <w:lvl w:ilvl="6" w:tplc="F3D6F288" w:tentative="1">
      <w:start w:val="1"/>
      <w:numFmt w:val="decimal"/>
      <w:lvlText w:val="%7."/>
      <w:lvlJc w:val="left"/>
      <w:pPr>
        <w:ind w:left="5040" w:hanging="360"/>
      </w:pPr>
    </w:lvl>
    <w:lvl w:ilvl="7" w:tplc="04E887D4" w:tentative="1">
      <w:start w:val="1"/>
      <w:numFmt w:val="lowerLetter"/>
      <w:lvlText w:val="%8."/>
      <w:lvlJc w:val="left"/>
      <w:pPr>
        <w:ind w:left="5760" w:hanging="360"/>
      </w:pPr>
    </w:lvl>
    <w:lvl w:ilvl="8" w:tplc="54C814AE" w:tentative="1">
      <w:start w:val="1"/>
      <w:numFmt w:val="lowerRoman"/>
      <w:lvlText w:val="%9."/>
      <w:lvlJc w:val="right"/>
      <w:pPr>
        <w:ind w:left="6480" w:hanging="180"/>
      </w:pPr>
    </w:lvl>
  </w:abstractNum>
  <w:abstractNum w:abstractNumId="1" w15:restartNumberingAfterBreak="0">
    <w:nsid w:val="0FE85E16"/>
    <w:multiLevelType w:val="hybridMultilevel"/>
    <w:tmpl w:val="D164A4E6"/>
    <w:lvl w:ilvl="0" w:tplc="29FC02CC">
      <w:start w:val="1"/>
      <w:numFmt w:val="decimal"/>
      <w:lvlText w:val="%1."/>
      <w:lvlJc w:val="left"/>
      <w:pPr>
        <w:ind w:left="360" w:hanging="360"/>
      </w:pPr>
      <w:rPr>
        <w:rFonts w:hint="default"/>
      </w:rPr>
    </w:lvl>
    <w:lvl w:ilvl="1" w:tplc="A6A0CA0A">
      <w:numFmt w:val="bullet"/>
      <w:lvlText w:val="•"/>
      <w:lvlJc w:val="left"/>
      <w:pPr>
        <w:ind w:left="1080" w:hanging="360"/>
      </w:pPr>
      <w:rPr>
        <w:rFonts w:ascii="Calibri Light" w:eastAsiaTheme="minorHAnsi" w:hAnsi="Calibri Light" w:cs="Calibri Light" w:hint="default"/>
      </w:rPr>
    </w:lvl>
    <w:lvl w:ilvl="2" w:tplc="8E1E9C64" w:tentative="1">
      <w:start w:val="1"/>
      <w:numFmt w:val="lowerRoman"/>
      <w:lvlText w:val="%3."/>
      <w:lvlJc w:val="right"/>
      <w:pPr>
        <w:ind w:left="1800" w:hanging="180"/>
      </w:pPr>
    </w:lvl>
    <w:lvl w:ilvl="3" w:tplc="2376E04C" w:tentative="1">
      <w:start w:val="1"/>
      <w:numFmt w:val="decimal"/>
      <w:lvlText w:val="%4."/>
      <w:lvlJc w:val="left"/>
      <w:pPr>
        <w:ind w:left="2520" w:hanging="360"/>
      </w:pPr>
    </w:lvl>
    <w:lvl w:ilvl="4" w:tplc="4ABA5670" w:tentative="1">
      <w:start w:val="1"/>
      <w:numFmt w:val="lowerLetter"/>
      <w:lvlText w:val="%5."/>
      <w:lvlJc w:val="left"/>
      <w:pPr>
        <w:ind w:left="3240" w:hanging="360"/>
      </w:pPr>
    </w:lvl>
    <w:lvl w:ilvl="5" w:tplc="65D88802" w:tentative="1">
      <w:start w:val="1"/>
      <w:numFmt w:val="lowerRoman"/>
      <w:lvlText w:val="%6."/>
      <w:lvlJc w:val="right"/>
      <w:pPr>
        <w:ind w:left="3960" w:hanging="180"/>
      </w:pPr>
    </w:lvl>
    <w:lvl w:ilvl="6" w:tplc="421EFE66" w:tentative="1">
      <w:start w:val="1"/>
      <w:numFmt w:val="decimal"/>
      <w:lvlText w:val="%7."/>
      <w:lvlJc w:val="left"/>
      <w:pPr>
        <w:ind w:left="4680" w:hanging="360"/>
      </w:pPr>
    </w:lvl>
    <w:lvl w:ilvl="7" w:tplc="1DD836AE" w:tentative="1">
      <w:start w:val="1"/>
      <w:numFmt w:val="lowerLetter"/>
      <w:lvlText w:val="%8."/>
      <w:lvlJc w:val="left"/>
      <w:pPr>
        <w:ind w:left="5400" w:hanging="360"/>
      </w:pPr>
    </w:lvl>
    <w:lvl w:ilvl="8" w:tplc="416E8792" w:tentative="1">
      <w:start w:val="1"/>
      <w:numFmt w:val="lowerRoman"/>
      <w:lvlText w:val="%9."/>
      <w:lvlJc w:val="right"/>
      <w:pPr>
        <w:ind w:left="6120" w:hanging="180"/>
      </w:pPr>
    </w:lvl>
  </w:abstractNum>
  <w:abstractNum w:abstractNumId="2" w15:restartNumberingAfterBreak="0">
    <w:nsid w:val="5FC55D65"/>
    <w:multiLevelType w:val="hybridMultilevel"/>
    <w:tmpl w:val="7C928564"/>
    <w:lvl w:ilvl="0" w:tplc="80FCA540">
      <w:start w:val="1"/>
      <w:numFmt w:val="lowerLetter"/>
      <w:lvlText w:val="%1."/>
      <w:lvlJc w:val="left"/>
      <w:pPr>
        <w:ind w:left="720" w:hanging="360"/>
      </w:pPr>
    </w:lvl>
    <w:lvl w:ilvl="1" w:tplc="24D8D106">
      <w:start w:val="1"/>
      <w:numFmt w:val="upperRoman"/>
      <w:lvlText w:val="%2."/>
      <w:lvlJc w:val="right"/>
      <w:pPr>
        <w:ind w:left="1440" w:hanging="360"/>
      </w:pPr>
    </w:lvl>
    <w:lvl w:ilvl="2" w:tplc="55A27FD2" w:tentative="1">
      <w:start w:val="1"/>
      <w:numFmt w:val="lowerRoman"/>
      <w:lvlText w:val="%3."/>
      <w:lvlJc w:val="right"/>
      <w:pPr>
        <w:ind w:left="2160" w:hanging="180"/>
      </w:pPr>
    </w:lvl>
    <w:lvl w:ilvl="3" w:tplc="23C251AE" w:tentative="1">
      <w:start w:val="1"/>
      <w:numFmt w:val="decimal"/>
      <w:lvlText w:val="%4."/>
      <w:lvlJc w:val="left"/>
      <w:pPr>
        <w:ind w:left="2880" w:hanging="360"/>
      </w:pPr>
    </w:lvl>
    <w:lvl w:ilvl="4" w:tplc="EDB838C2" w:tentative="1">
      <w:start w:val="1"/>
      <w:numFmt w:val="lowerLetter"/>
      <w:lvlText w:val="%5."/>
      <w:lvlJc w:val="left"/>
      <w:pPr>
        <w:ind w:left="3600" w:hanging="360"/>
      </w:pPr>
    </w:lvl>
    <w:lvl w:ilvl="5" w:tplc="DC1EEEC4" w:tentative="1">
      <w:start w:val="1"/>
      <w:numFmt w:val="lowerRoman"/>
      <w:lvlText w:val="%6."/>
      <w:lvlJc w:val="right"/>
      <w:pPr>
        <w:ind w:left="4320" w:hanging="180"/>
      </w:pPr>
    </w:lvl>
    <w:lvl w:ilvl="6" w:tplc="8272F8A6" w:tentative="1">
      <w:start w:val="1"/>
      <w:numFmt w:val="decimal"/>
      <w:lvlText w:val="%7."/>
      <w:lvlJc w:val="left"/>
      <w:pPr>
        <w:ind w:left="5040" w:hanging="360"/>
      </w:pPr>
    </w:lvl>
    <w:lvl w:ilvl="7" w:tplc="A8BA86A0" w:tentative="1">
      <w:start w:val="1"/>
      <w:numFmt w:val="lowerLetter"/>
      <w:lvlText w:val="%8."/>
      <w:lvlJc w:val="left"/>
      <w:pPr>
        <w:ind w:left="5760" w:hanging="360"/>
      </w:pPr>
    </w:lvl>
    <w:lvl w:ilvl="8" w:tplc="4EE654C0" w:tentative="1">
      <w:start w:val="1"/>
      <w:numFmt w:val="lowerRoman"/>
      <w:lvlText w:val="%9."/>
      <w:lvlJc w:val="right"/>
      <w:pPr>
        <w:ind w:left="6480" w:hanging="180"/>
      </w:pPr>
    </w:lvl>
  </w:abstractNum>
  <w:num w:numId="1" w16cid:durableId="1729955385">
    <w:abstractNumId w:val="0"/>
  </w:num>
  <w:num w:numId="2" w16cid:durableId="479079672">
    <w:abstractNumId w:val="2"/>
  </w:num>
  <w:num w:numId="3" w16cid:durableId="339352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34"/>
    <w:rsid w:val="00025989"/>
    <w:rsid w:val="006D1019"/>
    <w:rsid w:val="007D5F8A"/>
    <w:rsid w:val="008943B4"/>
    <w:rsid w:val="008F6C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762F"/>
  <w15:chartTrackingRefBased/>
  <w15:docId w15:val="{32144DD7-4951-41C0-9E1F-266FACD4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C34"/>
    <w:pPr>
      <w:spacing w:after="240" w:line="240" w:lineRule="auto"/>
    </w:pPr>
    <w:rPr>
      <w:sz w:val="24"/>
    </w:rPr>
  </w:style>
  <w:style w:type="paragraph" w:styleId="Overskrift1">
    <w:name w:val="heading 1"/>
    <w:basedOn w:val="Normal"/>
    <w:next w:val="Normal"/>
    <w:link w:val="Overskrift1Tegn"/>
    <w:uiPriority w:val="9"/>
    <w:qFormat/>
    <w:rsid w:val="006D1019"/>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6D1019"/>
    <w:pPr>
      <w:keepNext/>
      <w:keepLines/>
      <w:spacing w:before="40" w:after="0"/>
      <w:outlineLvl w:val="1"/>
    </w:pPr>
    <w:rPr>
      <w:rFonts w:asciiTheme="majorHAnsi" w:eastAsiaTheme="majorEastAsia" w:hAnsiTheme="majorHAnsi" w:cstheme="majorBidi"/>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D1019"/>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semiHidden/>
    <w:rsid w:val="006D1019"/>
    <w:rPr>
      <w:rFonts w:asciiTheme="majorHAnsi" w:eastAsiaTheme="majorEastAsia" w:hAnsiTheme="majorHAnsi" w:cstheme="majorBidi"/>
      <w:sz w:val="26"/>
      <w:szCs w:val="26"/>
    </w:rPr>
  </w:style>
  <w:style w:type="paragraph" w:styleId="Sterktsitat">
    <w:name w:val="Intense Quote"/>
    <w:basedOn w:val="Normal"/>
    <w:next w:val="Normal"/>
    <w:link w:val="SterktsitatTegn"/>
    <w:uiPriority w:val="30"/>
    <w:qFormat/>
    <w:rsid w:val="006D1019"/>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6D1019"/>
    <w:rPr>
      <w:i/>
      <w:iCs/>
    </w:rPr>
  </w:style>
  <w:style w:type="character" w:styleId="Sterkutheving">
    <w:name w:val="Intense Emphasis"/>
    <w:basedOn w:val="Standardskriftforavsnitt"/>
    <w:uiPriority w:val="21"/>
    <w:qFormat/>
    <w:rsid w:val="006D1019"/>
    <w:rPr>
      <w:i/>
      <w:iCs/>
      <w:color w:val="auto"/>
    </w:rPr>
  </w:style>
  <w:style w:type="character" w:styleId="Sterkreferanse">
    <w:name w:val="Intense Reference"/>
    <w:basedOn w:val="Standardskriftforavsnitt"/>
    <w:uiPriority w:val="32"/>
    <w:qFormat/>
    <w:rsid w:val="006D1019"/>
    <w:rPr>
      <w:b/>
      <w:bCs/>
      <w:smallCaps/>
      <w:color w:val="auto"/>
      <w:spacing w:val="5"/>
    </w:rPr>
  </w:style>
  <w:style w:type="paragraph" w:styleId="Listeavsnitt">
    <w:name w:val="List Paragraph"/>
    <w:basedOn w:val="Normal"/>
    <w:uiPriority w:val="34"/>
    <w:qFormat/>
    <w:rsid w:val="008F6C34"/>
    <w:pPr>
      <w:spacing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3044</Characters>
  <Application>Microsoft Office Word</Application>
  <DocSecurity>4</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Østfold fylkeskomune</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Winterseth</dc:creator>
  <cp:keywords/>
  <dc:description/>
  <cp:lastModifiedBy>Fredrik Andreas Norland</cp:lastModifiedBy>
  <cp:revision>2</cp:revision>
  <dcterms:created xsi:type="dcterms:W3CDTF">2024-05-16T07:54:00Z</dcterms:created>
  <dcterms:modified xsi:type="dcterms:W3CDTF">2024-05-16T07:54:00Z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c77f94-bcd4-4b97-aece-e45a5d92d8be_Enabled">
    <vt:lpwstr>true</vt:lpwstr>
  </property>
  <property fmtid="{D5CDD505-2E9C-101B-9397-08002B2CF9AE}" pid="3" name="MSIP_Label_0bc77f94-bcd4-4b97-aece-e45a5d92d8be_SetDate">
    <vt:lpwstr>2024-03-22T14:45:36Z</vt:lpwstr>
  </property>
  <property fmtid="{D5CDD505-2E9C-101B-9397-08002B2CF9AE}" pid="4" name="MSIP_Label_0bc77f94-bcd4-4b97-aece-e45a5d92d8be_Method">
    <vt:lpwstr>Standard</vt:lpwstr>
  </property>
  <property fmtid="{D5CDD505-2E9C-101B-9397-08002B2CF9AE}" pid="5" name="MSIP_Label_0bc77f94-bcd4-4b97-aece-e45a5d92d8be_Name">
    <vt:lpwstr>Intern</vt:lpwstr>
  </property>
  <property fmtid="{D5CDD505-2E9C-101B-9397-08002B2CF9AE}" pid="6" name="MSIP_Label_0bc77f94-bcd4-4b97-aece-e45a5d92d8be_SiteId">
    <vt:lpwstr>605f4b0c-6bd7-4c8d-958a-1d646bc08e43</vt:lpwstr>
  </property>
  <property fmtid="{D5CDD505-2E9C-101B-9397-08002B2CF9AE}" pid="7" name="MSIP_Label_0bc77f94-bcd4-4b97-aece-e45a5d92d8be_ActionId">
    <vt:lpwstr>37b9d31d-a5a2-43f6-abaf-ad2ae48e42ef</vt:lpwstr>
  </property>
  <property fmtid="{D5CDD505-2E9C-101B-9397-08002B2CF9AE}" pid="8" name="MSIP_Label_0bc77f94-bcd4-4b97-aece-e45a5d92d8be_ContentBits">
    <vt:lpwstr>0</vt:lpwstr>
  </property>
</Properties>
</file>